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70" w:rsidRPr="00995270" w:rsidRDefault="00995270" w:rsidP="00995270">
      <w:pPr>
        <w:widowControl w:val="0"/>
        <w:spacing w:after="0" w:line="284" w:lineRule="atLeast"/>
        <w:rPr>
          <w:rFonts w:ascii="Verdana" w:eastAsia="Times New Roman" w:hAnsi="Verdana" w:cs="Times New Roman"/>
          <w:b/>
          <w:snapToGrid w:val="0"/>
          <w:w w:val="105"/>
          <w:sz w:val="20"/>
          <w:szCs w:val="20"/>
          <w:lang w:eastAsia="nl-NL"/>
        </w:rPr>
      </w:pPr>
      <w:bookmarkStart w:id="0" w:name="_GoBack"/>
      <w:bookmarkEnd w:id="0"/>
      <w:r w:rsidRPr="00995270">
        <w:rPr>
          <w:rFonts w:ascii="Verdana" w:eastAsia="Times New Roman" w:hAnsi="Verdana" w:cs="Times New Roman"/>
          <w:b/>
          <w:snapToGrid w:val="0"/>
          <w:w w:val="105"/>
          <w:sz w:val="20"/>
          <w:szCs w:val="20"/>
          <w:lang w:eastAsia="nl-NL"/>
        </w:rPr>
        <w:t>Tarievenblad 201</w:t>
      </w:r>
      <w:r w:rsidR="00106D14">
        <w:rPr>
          <w:rFonts w:ascii="Verdana" w:eastAsia="Times New Roman" w:hAnsi="Verdana" w:cs="Times New Roman"/>
          <w:b/>
          <w:snapToGrid w:val="0"/>
          <w:w w:val="105"/>
          <w:sz w:val="20"/>
          <w:szCs w:val="20"/>
          <w:lang w:eastAsia="nl-NL"/>
        </w:rPr>
        <w:t>9</w:t>
      </w:r>
      <w:r w:rsidRPr="00995270">
        <w:rPr>
          <w:rFonts w:ascii="Verdana" w:eastAsia="Times New Roman" w:hAnsi="Verdana" w:cs="Times New Roman"/>
          <w:b/>
          <w:snapToGrid w:val="0"/>
          <w:w w:val="105"/>
          <w:sz w:val="20"/>
          <w:szCs w:val="20"/>
          <w:lang w:eastAsia="nl-NL"/>
        </w:rPr>
        <w:t xml:space="preserve"> Woningstichting Nieuwkoop</w:t>
      </w:r>
    </w:p>
    <w:p w:rsidR="00995270" w:rsidRPr="00995270" w:rsidRDefault="00995270" w:rsidP="00995270">
      <w:pPr>
        <w:widowControl w:val="0"/>
        <w:spacing w:after="0" w:line="284" w:lineRule="atLeast"/>
        <w:rPr>
          <w:rFonts w:ascii="Verdana" w:eastAsia="Times New Roman" w:hAnsi="Verdana" w:cs="Times New Roman"/>
          <w:snapToGrid w:val="0"/>
          <w:w w:val="105"/>
          <w:sz w:val="20"/>
          <w:szCs w:val="20"/>
          <w:lang w:eastAsia="nl-NL"/>
        </w:rPr>
      </w:pPr>
      <w:r w:rsidRPr="00995270">
        <w:rPr>
          <w:rFonts w:ascii="Verdana" w:eastAsia="Times New Roman" w:hAnsi="Verdana" w:cs="Times New Roman"/>
          <w:snapToGrid w:val="0"/>
          <w:w w:val="105"/>
          <w:sz w:val="20"/>
          <w:szCs w:val="20"/>
          <w:lang w:eastAsia="nl-NL"/>
        </w:rPr>
        <w:t>Complex Halve Roe 1-35, Nieuwkoop</w:t>
      </w:r>
    </w:p>
    <w:p w:rsidR="003C4692" w:rsidRPr="00995270" w:rsidRDefault="003C4692" w:rsidP="003C4692">
      <w:pPr>
        <w:widowControl w:val="0"/>
        <w:spacing w:after="0" w:line="284" w:lineRule="atLeast"/>
        <w:rPr>
          <w:rFonts w:ascii="Verdana" w:eastAsia="Times New Roman" w:hAnsi="Verdana" w:cs="Times New Roman"/>
          <w:snapToGrid w:val="0"/>
          <w:w w:val="105"/>
          <w:sz w:val="20"/>
          <w:szCs w:val="20"/>
          <w:lang w:eastAsia="nl-NL"/>
        </w:rPr>
      </w:pPr>
    </w:p>
    <w:tbl>
      <w:tblPr>
        <w:tblStyle w:val="Tabelraster"/>
        <w:tblW w:w="8784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3402"/>
      </w:tblGrid>
      <w:tr w:rsidR="007B39B5" w:rsidRPr="009D5664" w:rsidTr="007B39B5">
        <w:tc>
          <w:tcPr>
            <w:tcW w:w="1980" w:type="dxa"/>
          </w:tcPr>
          <w:p w:rsidR="007B39B5" w:rsidRPr="009D5664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b/>
                <w:snapToGrid w:val="0"/>
                <w:w w:val="105"/>
                <w:szCs w:val="20"/>
                <w:lang w:eastAsia="nl-NL"/>
              </w:rPr>
            </w:pPr>
          </w:p>
        </w:tc>
        <w:tc>
          <w:tcPr>
            <w:tcW w:w="3402" w:type="dxa"/>
          </w:tcPr>
          <w:p w:rsidR="007B39B5" w:rsidRPr="009D5664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b/>
                <w:snapToGrid w:val="0"/>
                <w:w w:val="105"/>
                <w:szCs w:val="20"/>
                <w:lang w:eastAsia="nl-NL"/>
              </w:rPr>
            </w:pPr>
            <w:r w:rsidRPr="009D5664">
              <w:rPr>
                <w:rFonts w:eastAsia="Times New Roman" w:cs="Times New Roman"/>
                <w:b/>
                <w:snapToGrid w:val="0"/>
                <w:w w:val="105"/>
                <w:szCs w:val="20"/>
                <w:lang w:eastAsia="nl-NL"/>
              </w:rPr>
              <w:t>Tarief WSN 201</w:t>
            </w:r>
            <w:r>
              <w:rPr>
                <w:rFonts w:eastAsia="Times New Roman" w:cs="Times New Roman"/>
                <w:b/>
                <w:snapToGrid w:val="0"/>
                <w:w w:val="105"/>
                <w:szCs w:val="20"/>
                <w:lang w:eastAsia="nl-NL"/>
              </w:rPr>
              <w:t>9</w:t>
            </w:r>
            <w:r w:rsidRPr="009D5664">
              <w:rPr>
                <w:rFonts w:eastAsia="Times New Roman" w:cs="Times New Roman"/>
                <w:b/>
                <w:snapToGrid w:val="0"/>
                <w:w w:val="105"/>
                <w:szCs w:val="20"/>
                <w:lang w:eastAsia="nl-NL"/>
              </w:rPr>
              <w:t xml:space="preserve"> per jaar</w:t>
            </w:r>
          </w:p>
          <w:p w:rsidR="007B39B5" w:rsidRPr="009D5664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b/>
                <w:snapToGrid w:val="0"/>
                <w:w w:val="105"/>
                <w:szCs w:val="20"/>
                <w:lang w:eastAsia="nl-NL"/>
              </w:rPr>
            </w:pPr>
            <w:r w:rsidRPr="009D5664">
              <w:rPr>
                <w:rFonts w:eastAsia="Times New Roman" w:cs="Times New Roman"/>
                <w:b/>
                <w:snapToGrid w:val="0"/>
                <w:w w:val="105"/>
                <w:szCs w:val="20"/>
                <w:lang w:eastAsia="nl-NL"/>
              </w:rPr>
              <w:t>(incl. btw) per woning</w:t>
            </w:r>
          </w:p>
        </w:tc>
        <w:tc>
          <w:tcPr>
            <w:tcW w:w="3402" w:type="dxa"/>
          </w:tcPr>
          <w:p w:rsidR="007B39B5" w:rsidRPr="009D5664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b/>
                <w:snapToGrid w:val="0"/>
                <w:w w:val="105"/>
                <w:szCs w:val="20"/>
                <w:lang w:eastAsia="nl-NL"/>
              </w:rPr>
            </w:pPr>
            <w:r w:rsidRPr="009D5664">
              <w:rPr>
                <w:rFonts w:eastAsia="Times New Roman" w:cs="Times New Roman"/>
                <w:b/>
                <w:snapToGrid w:val="0"/>
                <w:w w:val="105"/>
                <w:szCs w:val="20"/>
                <w:lang w:eastAsia="nl-NL"/>
              </w:rPr>
              <w:t>Tarief ACM per jaar</w:t>
            </w:r>
          </w:p>
          <w:p w:rsidR="007B39B5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b/>
                <w:snapToGrid w:val="0"/>
                <w:w w:val="105"/>
                <w:szCs w:val="20"/>
                <w:lang w:eastAsia="nl-NL"/>
              </w:rPr>
            </w:pPr>
            <w:r w:rsidRPr="009D5664">
              <w:rPr>
                <w:rFonts w:eastAsia="Times New Roman" w:cs="Times New Roman"/>
                <w:b/>
                <w:snapToGrid w:val="0"/>
                <w:w w:val="105"/>
                <w:szCs w:val="20"/>
                <w:lang w:eastAsia="nl-NL"/>
              </w:rPr>
              <w:t xml:space="preserve">(incl. btw). </w:t>
            </w:r>
          </w:p>
          <w:p w:rsidR="007B39B5" w:rsidRPr="009D5664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b/>
                <w:snapToGrid w:val="0"/>
                <w:w w:val="105"/>
                <w:szCs w:val="20"/>
                <w:lang w:eastAsia="nl-NL"/>
              </w:rPr>
            </w:pPr>
            <w:r w:rsidRPr="009D5664">
              <w:rPr>
                <w:rFonts w:eastAsia="Times New Roman" w:cs="Times New Roman"/>
                <w:b/>
                <w:snapToGrid w:val="0"/>
                <w:w w:val="105"/>
                <w:szCs w:val="20"/>
                <w:lang w:eastAsia="nl-NL"/>
              </w:rPr>
              <w:t>Maximale tarieven</w:t>
            </w:r>
            <w:r>
              <w:rPr>
                <w:rFonts w:eastAsia="Times New Roman" w:cs="Times New Roman"/>
                <w:b/>
                <w:snapToGrid w:val="0"/>
                <w:w w:val="105"/>
                <w:szCs w:val="20"/>
                <w:lang w:eastAsia="nl-NL"/>
              </w:rPr>
              <w:t xml:space="preserve"> </w:t>
            </w:r>
            <w:r w:rsidRPr="009D5664">
              <w:rPr>
                <w:rFonts w:eastAsia="Times New Roman" w:cs="Times New Roman"/>
                <w:b/>
                <w:snapToGrid w:val="0"/>
                <w:w w:val="105"/>
                <w:szCs w:val="20"/>
                <w:lang w:eastAsia="nl-NL"/>
              </w:rPr>
              <w:t>Warmtewet</w:t>
            </w:r>
          </w:p>
          <w:p w:rsidR="007B39B5" w:rsidRPr="009D5664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b/>
                <w:snapToGrid w:val="0"/>
                <w:w w:val="105"/>
                <w:szCs w:val="20"/>
                <w:lang w:eastAsia="nl-NL"/>
              </w:rPr>
            </w:pPr>
          </w:p>
        </w:tc>
      </w:tr>
      <w:tr w:rsidR="007B39B5" w:rsidRPr="003D3D53" w:rsidTr="007B39B5">
        <w:trPr>
          <w:trHeight w:val="669"/>
        </w:trPr>
        <w:tc>
          <w:tcPr>
            <w:tcW w:w="1980" w:type="dxa"/>
          </w:tcPr>
          <w:p w:rsidR="007B39B5" w:rsidRPr="00995270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  <w:r w:rsidRPr="00995270"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Vastrecht warmte</w:t>
            </w:r>
          </w:p>
        </w:tc>
        <w:tc>
          <w:tcPr>
            <w:tcW w:w="3402" w:type="dxa"/>
          </w:tcPr>
          <w:p w:rsidR="007B39B5" w:rsidRPr="00995270" w:rsidRDefault="007B39B5" w:rsidP="0090602A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  <w:r w:rsidRPr="0090602A"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€ 5</w:t>
            </w:r>
            <w:r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3</w:t>
            </w:r>
            <w:r w:rsidRPr="0090602A"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,</w:t>
            </w:r>
            <w:r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15</w:t>
            </w:r>
          </w:p>
        </w:tc>
        <w:tc>
          <w:tcPr>
            <w:tcW w:w="3402" w:type="dxa"/>
          </w:tcPr>
          <w:p w:rsidR="007B39B5" w:rsidRPr="00B42D05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  <w:r w:rsidRPr="00B42D05"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 xml:space="preserve">€ </w:t>
            </w:r>
            <w:r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318,95</w:t>
            </w:r>
          </w:p>
          <w:p w:rsidR="007B39B5" w:rsidRPr="00B42D05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</w:p>
          <w:p w:rsidR="007B39B5" w:rsidRPr="00B42D05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</w:p>
          <w:p w:rsidR="007B39B5" w:rsidRPr="00B42D05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</w:p>
        </w:tc>
      </w:tr>
      <w:tr w:rsidR="007B39B5" w:rsidRPr="00995270" w:rsidTr="007B39B5">
        <w:tc>
          <w:tcPr>
            <w:tcW w:w="1980" w:type="dxa"/>
          </w:tcPr>
          <w:p w:rsidR="007B39B5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  <w:r w:rsidRPr="00995270"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Meet</w:t>
            </w:r>
          </w:p>
          <w:p w:rsidR="007B39B5" w:rsidRPr="00995270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  <w:r w:rsidRPr="00995270"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kosten</w:t>
            </w:r>
          </w:p>
        </w:tc>
        <w:tc>
          <w:tcPr>
            <w:tcW w:w="3402" w:type="dxa"/>
          </w:tcPr>
          <w:p w:rsidR="007B39B5" w:rsidRPr="00433585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  <w:r w:rsidRPr="00433585"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€ 25,</w:t>
            </w:r>
            <w:r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89</w:t>
            </w:r>
          </w:p>
          <w:p w:rsidR="007B39B5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</w:p>
          <w:p w:rsidR="007B39B5" w:rsidRPr="00995270" w:rsidRDefault="007B39B5" w:rsidP="00844C72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</w:p>
        </w:tc>
        <w:tc>
          <w:tcPr>
            <w:tcW w:w="3402" w:type="dxa"/>
          </w:tcPr>
          <w:p w:rsidR="007B39B5" w:rsidRPr="00683D01" w:rsidRDefault="007B39B5" w:rsidP="004A18F7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  <w:r w:rsidRPr="00683D01"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€ 25,</w:t>
            </w:r>
            <w:r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89</w:t>
            </w:r>
          </w:p>
        </w:tc>
      </w:tr>
      <w:tr w:rsidR="007B39B5" w:rsidRPr="00995270" w:rsidTr="007B39B5">
        <w:trPr>
          <w:trHeight w:val="939"/>
        </w:trPr>
        <w:tc>
          <w:tcPr>
            <w:tcW w:w="1980" w:type="dxa"/>
          </w:tcPr>
          <w:p w:rsidR="007B39B5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  <w:r w:rsidRPr="00995270"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Meet</w:t>
            </w:r>
          </w:p>
          <w:p w:rsidR="007B39B5" w:rsidRPr="00995270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  <w:r w:rsidRPr="00995270"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apparatuur</w:t>
            </w:r>
          </w:p>
        </w:tc>
        <w:tc>
          <w:tcPr>
            <w:tcW w:w="3402" w:type="dxa"/>
          </w:tcPr>
          <w:p w:rsidR="007B39B5" w:rsidRPr="00995270" w:rsidRDefault="007B39B5" w:rsidP="005F5E42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  <w:r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O</w:t>
            </w:r>
            <w:r w:rsidRPr="00995270"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p basis van werkelijke kosten</w:t>
            </w:r>
          </w:p>
        </w:tc>
        <w:tc>
          <w:tcPr>
            <w:tcW w:w="3402" w:type="dxa"/>
          </w:tcPr>
          <w:p w:rsidR="007B39B5" w:rsidRPr="00683D01" w:rsidRDefault="007B39B5" w:rsidP="005F5E42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  <w:r w:rsidRPr="00683D01"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Op basis van werkelijke kosten</w:t>
            </w:r>
          </w:p>
        </w:tc>
      </w:tr>
      <w:tr w:rsidR="007B39B5" w:rsidRPr="00995270" w:rsidTr="007B39B5">
        <w:trPr>
          <w:trHeight w:val="981"/>
        </w:trPr>
        <w:tc>
          <w:tcPr>
            <w:tcW w:w="1980" w:type="dxa"/>
          </w:tcPr>
          <w:p w:rsidR="007B39B5" w:rsidRPr="004E3466" w:rsidRDefault="007B39B5" w:rsidP="004657F9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  <w:r w:rsidRPr="004E3466"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Variabel GJ tarief warmte</w:t>
            </w:r>
          </w:p>
        </w:tc>
        <w:tc>
          <w:tcPr>
            <w:tcW w:w="3402" w:type="dxa"/>
          </w:tcPr>
          <w:p w:rsidR="007B39B5" w:rsidRPr="004E3466" w:rsidRDefault="007B39B5" w:rsidP="003C4692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  <w:r w:rsidRPr="004E3466"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 xml:space="preserve">€ </w:t>
            </w:r>
            <w:r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 xml:space="preserve">28,47 </w:t>
            </w:r>
            <w:r w:rsidRPr="004E3466"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 xml:space="preserve">per GJ </w:t>
            </w:r>
          </w:p>
          <w:p w:rsidR="007B39B5" w:rsidRPr="004E3466" w:rsidRDefault="007B39B5" w:rsidP="003C4692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</w:p>
        </w:tc>
        <w:tc>
          <w:tcPr>
            <w:tcW w:w="3402" w:type="dxa"/>
          </w:tcPr>
          <w:p w:rsidR="007B39B5" w:rsidRPr="004E3466" w:rsidRDefault="007B39B5" w:rsidP="00DB4EEE">
            <w:pPr>
              <w:widowControl w:val="0"/>
              <w:spacing w:line="284" w:lineRule="atLeast"/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</w:pPr>
            <w:r w:rsidRPr="004E3466"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 xml:space="preserve">€ </w:t>
            </w:r>
            <w:r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 xml:space="preserve">28,47 </w:t>
            </w:r>
            <w:r w:rsidRPr="004E3466">
              <w:rPr>
                <w:rFonts w:eastAsia="Times New Roman" w:cs="Times New Roman"/>
                <w:snapToGrid w:val="0"/>
                <w:w w:val="105"/>
                <w:szCs w:val="20"/>
                <w:lang w:eastAsia="nl-NL"/>
              </w:rPr>
              <w:t>per GJ</w:t>
            </w:r>
          </w:p>
        </w:tc>
      </w:tr>
    </w:tbl>
    <w:p w:rsidR="003C4692" w:rsidRPr="00995270" w:rsidRDefault="003C4692" w:rsidP="003C4692">
      <w:pPr>
        <w:widowControl w:val="0"/>
        <w:spacing w:after="0" w:line="284" w:lineRule="atLeast"/>
        <w:rPr>
          <w:rFonts w:ascii="Verdana" w:eastAsia="Times New Roman" w:hAnsi="Verdana" w:cs="Times New Roman"/>
          <w:snapToGrid w:val="0"/>
          <w:w w:val="105"/>
          <w:sz w:val="20"/>
          <w:szCs w:val="20"/>
          <w:lang w:eastAsia="nl-NL"/>
        </w:rPr>
      </w:pPr>
    </w:p>
    <w:p w:rsidR="00995270" w:rsidRPr="00995270" w:rsidRDefault="00995270" w:rsidP="00995270">
      <w:pPr>
        <w:widowControl w:val="0"/>
        <w:spacing w:after="0" w:line="284" w:lineRule="atLeast"/>
        <w:rPr>
          <w:rFonts w:ascii="Verdana" w:eastAsia="Times New Roman" w:hAnsi="Verdana" w:cs="Times New Roman"/>
          <w:snapToGrid w:val="0"/>
          <w:w w:val="105"/>
          <w:sz w:val="20"/>
          <w:szCs w:val="20"/>
          <w:lang w:eastAsia="nl-NL"/>
        </w:rPr>
      </w:pPr>
    </w:p>
    <w:p w:rsidR="00CE23AD" w:rsidRPr="00BC60E6" w:rsidRDefault="00BC60E6" w:rsidP="00CE23AD">
      <w:pPr>
        <w:keepLines/>
        <w:spacing w:line="283" w:lineRule="exact"/>
        <w:contextualSpacing/>
        <w:rPr>
          <w:rFonts w:ascii="Verdana" w:hAnsi="Verdana"/>
          <w:sz w:val="20"/>
          <w:szCs w:val="20"/>
          <w:u w:val="single"/>
        </w:rPr>
      </w:pPr>
      <w:r w:rsidRPr="00BC60E6">
        <w:rPr>
          <w:rFonts w:ascii="Verdana" w:hAnsi="Verdana"/>
          <w:sz w:val="20"/>
          <w:szCs w:val="20"/>
          <w:u w:val="single"/>
        </w:rPr>
        <w:t>Kwaliteitsniveau</w:t>
      </w:r>
    </w:p>
    <w:p w:rsidR="00CE23AD" w:rsidRPr="00CE23AD" w:rsidRDefault="00CE23AD" w:rsidP="00CE23AD">
      <w:pPr>
        <w:keepLines/>
        <w:spacing w:line="283" w:lineRule="exact"/>
        <w:contextualSpacing/>
        <w:rPr>
          <w:rFonts w:ascii="Verdana" w:hAnsi="Verdana"/>
          <w:sz w:val="20"/>
          <w:szCs w:val="20"/>
        </w:rPr>
      </w:pPr>
      <w:r w:rsidRPr="00CE23AD">
        <w:rPr>
          <w:rFonts w:ascii="Verdana" w:hAnsi="Verdana"/>
          <w:sz w:val="20"/>
          <w:szCs w:val="20"/>
        </w:rPr>
        <w:t xml:space="preserve">De aanvoertemperatuur van het water bestemd voor de ruimteverwarming is gelegen tussen </w:t>
      </w:r>
      <w:r w:rsidR="00995270" w:rsidRPr="001D5D66">
        <w:rPr>
          <w:rFonts w:eastAsia="Calibri"/>
          <w:szCs w:val="16"/>
        </w:rPr>
        <w:t xml:space="preserve">20 ° C en 22 ° </w:t>
      </w:r>
      <w:r w:rsidR="00995270">
        <w:rPr>
          <w:rFonts w:eastAsia="Calibri"/>
          <w:szCs w:val="16"/>
        </w:rPr>
        <w:t>C</w:t>
      </w:r>
      <w:r w:rsidRPr="00CE23AD">
        <w:rPr>
          <w:rFonts w:ascii="Verdana" w:hAnsi="Verdana"/>
          <w:sz w:val="20"/>
          <w:szCs w:val="20"/>
        </w:rPr>
        <w:t xml:space="preserve">. De aanvoertemperatuur van het tapwater is gelegen tussen </w:t>
      </w:r>
      <w:r w:rsidR="006D01EB" w:rsidRPr="001D5D66">
        <w:rPr>
          <w:rFonts w:eastAsia="Calibri"/>
          <w:szCs w:val="16"/>
        </w:rPr>
        <w:t>58 ° C en 63 ° C</w:t>
      </w:r>
      <w:r w:rsidR="006D01EB">
        <w:rPr>
          <w:rFonts w:ascii="Verdana" w:hAnsi="Verdana"/>
          <w:sz w:val="20"/>
          <w:szCs w:val="20"/>
        </w:rPr>
        <w:t>.</w:t>
      </w:r>
    </w:p>
    <w:p w:rsidR="00CE23AD" w:rsidRPr="00CE23AD" w:rsidRDefault="00CE23AD" w:rsidP="00CE23AD">
      <w:pPr>
        <w:keepLines/>
        <w:spacing w:line="283" w:lineRule="exact"/>
        <w:contextualSpacing/>
        <w:rPr>
          <w:rFonts w:ascii="Verdana" w:hAnsi="Verdana"/>
          <w:sz w:val="20"/>
          <w:szCs w:val="20"/>
        </w:rPr>
      </w:pPr>
    </w:p>
    <w:p w:rsidR="00CE23AD" w:rsidRPr="00BC60E6" w:rsidRDefault="00BC60E6" w:rsidP="00CE23AD">
      <w:pPr>
        <w:keepLines/>
        <w:spacing w:line="283" w:lineRule="exact"/>
        <w:contextualSpacing/>
        <w:rPr>
          <w:rFonts w:ascii="Verdana" w:hAnsi="Verdana"/>
          <w:sz w:val="20"/>
          <w:szCs w:val="20"/>
          <w:u w:val="single"/>
        </w:rPr>
      </w:pPr>
      <w:r w:rsidRPr="00BC60E6">
        <w:rPr>
          <w:rFonts w:ascii="Verdana" w:hAnsi="Verdana"/>
          <w:sz w:val="20"/>
          <w:szCs w:val="20"/>
          <w:u w:val="single"/>
        </w:rPr>
        <w:t>Compensatie</w:t>
      </w:r>
    </w:p>
    <w:p w:rsidR="00A15C3A" w:rsidRPr="00CE23AD" w:rsidRDefault="00CE23AD" w:rsidP="00CE23AD">
      <w:pPr>
        <w:keepLines/>
        <w:spacing w:line="283" w:lineRule="exact"/>
        <w:contextualSpacing/>
        <w:rPr>
          <w:rFonts w:ascii="Verdana" w:hAnsi="Verdana"/>
          <w:sz w:val="20"/>
          <w:szCs w:val="20"/>
        </w:rPr>
      </w:pPr>
      <w:r w:rsidRPr="00CE23AD">
        <w:rPr>
          <w:rFonts w:ascii="Verdana" w:hAnsi="Verdana"/>
          <w:sz w:val="20"/>
          <w:szCs w:val="20"/>
        </w:rPr>
        <w:t>Bij een onderbreking van levering van warmte door een storing die langer duurt dan een termijn van 4 uur heeft de Verbruiker recht op een vergoeding. De vergoeding bedraagt € 35</w:t>
      </w:r>
      <w:r w:rsidR="006815F2" w:rsidRPr="00CE23AD">
        <w:rPr>
          <w:rFonts w:ascii="Verdana" w:hAnsi="Verdana"/>
          <w:sz w:val="20"/>
          <w:szCs w:val="20"/>
        </w:rPr>
        <w:t>, -</w:t>
      </w:r>
      <w:r w:rsidRPr="00CE23AD">
        <w:rPr>
          <w:rFonts w:ascii="Verdana" w:hAnsi="Verdana"/>
          <w:sz w:val="20"/>
          <w:szCs w:val="20"/>
        </w:rPr>
        <w:t xml:space="preserve"> bij een onderbreking van 4 tot 8 uur. Voor elke volgende periode van 4 uur bedraagt de compensatie € 20</w:t>
      </w:r>
      <w:r w:rsidR="006815F2" w:rsidRPr="00CE23AD">
        <w:rPr>
          <w:rFonts w:ascii="Verdana" w:hAnsi="Verdana"/>
          <w:sz w:val="20"/>
          <w:szCs w:val="20"/>
        </w:rPr>
        <w:t>, -.</w:t>
      </w:r>
      <w:r w:rsidRPr="00CE23AD">
        <w:rPr>
          <w:rFonts w:ascii="Verdana" w:hAnsi="Verdana"/>
          <w:sz w:val="20"/>
          <w:szCs w:val="20"/>
        </w:rPr>
        <w:t xml:space="preserve"> Er bestaat geen recht op compensatie als de storing vooraf is aangekondigd en noodzakelijk is voor onderhoud. </w:t>
      </w:r>
    </w:p>
    <w:sectPr w:rsidR="00A15C3A" w:rsidRPr="00CE23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086" w:rsidRDefault="00C43086" w:rsidP="00C40B5E">
      <w:pPr>
        <w:spacing w:after="0" w:line="240" w:lineRule="auto"/>
      </w:pPr>
      <w:r>
        <w:separator/>
      </w:r>
    </w:p>
  </w:endnote>
  <w:endnote w:type="continuationSeparator" w:id="0">
    <w:p w:rsidR="00C43086" w:rsidRDefault="00C43086" w:rsidP="00C4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818501260"/>
      <w:docPartObj>
        <w:docPartGallery w:val="Page Numbers (Bottom of Page)"/>
        <w:docPartUnique/>
      </w:docPartObj>
    </w:sdtPr>
    <w:sdtEndPr/>
    <w:sdtContent>
      <w:p w:rsidR="00C40B5E" w:rsidRPr="00C40B5E" w:rsidRDefault="00C40B5E">
        <w:pPr>
          <w:pStyle w:val="Voettekst"/>
          <w:jc w:val="right"/>
          <w:rPr>
            <w:sz w:val="14"/>
          </w:rPr>
        </w:pPr>
        <w:r w:rsidRPr="00C40B5E">
          <w:rPr>
            <w:sz w:val="14"/>
          </w:rPr>
          <w:fldChar w:fldCharType="begin"/>
        </w:r>
        <w:r w:rsidRPr="00C40B5E">
          <w:rPr>
            <w:sz w:val="14"/>
          </w:rPr>
          <w:instrText>PAGE   \* MERGEFORMAT</w:instrText>
        </w:r>
        <w:r w:rsidRPr="00C40B5E">
          <w:rPr>
            <w:sz w:val="14"/>
          </w:rPr>
          <w:fldChar w:fldCharType="separate"/>
        </w:r>
        <w:r w:rsidR="000876E2">
          <w:rPr>
            <w:noProof/>
            <w:sz w:val="14"/>
          </w:rPr>
          <w:t>1</w:t>
        </w:r>
        <w:r w:rsidRPr="00C40B5E">
          <w:rPr>
            <w:sz w:val="14"/>
          </w:rPr>
          <w:fldChar w:fldCharType="end"/>
        </w:r>
      </w:p>
    </w:sdtContent>
  </w:sdt>
  <w:p w:rsidR="00C40B5E" w:rsidRPr="00C40B5E" w:rsidRDefault="00C40B5E">
    <w:pPr>
      <w:pStyle w:val="Voetteks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086" w:rsidRDefault="00C43086" w:rsidP="00C40B5E">
      <w:pPr>
        <w:spacing w:after="0" w:line="240" w:lineRule="auto"/>
      </w:pPr>
      <w:r>
        <w:separator/>
      </w:r>
    </w:p>
  </w:footnote>
  <w:footnote w:type="continuationSeparator" w:id="0">
    <w:p w:rsidR="00C43086" w:rsidRDefault="00C43086" w:rsidP="00C4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B71"/>
    <w:multiLevelType w:val="hybridMultilevel"/>
    <w:tmpl w:val="2054AE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42982"/>
    <w:multiLevelType w:val="hybridMultilevel"/>
    <w:tmpl w:val="36DE4A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F635A"/>
    <w:multiLevelType w:val="hybridMultilevel"/>
    <w:tmpl w:val="6180DBE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95D9D"/>
    <w:multiLevelType w:val="hybridMultilevel"/>
    <w:tmpl w:val="35347A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240CF"/>
    <w:multiLevelType w:val="hybridMultilevel"/>
    <w:tmpl w:val="126CF5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D25A5"/>
    <w:multiLevelType w:val="hybridMultilevel"/>
    <w:tmpl w:val="DBC221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E6D8F"/>
    <w:multiLevelType w:val="hybridMultilevel"/>
    <w:tmpl w:val="BA7CD8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5316C6"/>
    <w:multiLevelType w:val="hybridMultilevel"/>
    <w:tmpl w:val="B2063C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AD"/>
    <w:rsid w:val="00001685"/>
    <w:rsid w:val="00006902"/>
    <w:rsid w:val="00006E8F"/>
    <w:rsid w:val="000125CF"/>
    <w:rsid w:val="000876E2"/>
    <w:rsid w:val="000C1D97"/>
    <w:rsid w:val="00106D14"/>
    <w:rsid w:val="00117992"/>
    <w:rsid w:val="00151E5F"/>
    <w:rsid w:val="00157F68"/>
    <w:rsid w:val="0019579E"/>
    <w:rsid w:val="001F2FAE"/>
    <w:rsid w:val="001F7D72"/>
    <w:rsid w:val="002148BB"/>
    <w:rsid w:val="00240C4C"/>
    <w:rsid w:val="00256CA2"/>
    <w:rsid w:val="002818CE"/>
    <w:rsid w:val="00282642"/>
    <w:rsid w:val="003C4692"/>
    <w:rsid w:val="003D3D53"/>
    <w:rsid w:val="003D3FF0"/>
    <w:rsid w:val="00433585"/>
    <w:rsid w:val="00441C0B"/>
    <w:rsid w:val="004A0063"/>
    <w:rsid w:val="004A18F7"/>
    <w:rsid w:val="004B4C9A"/>
    <w:rsid w:val="004C0B9F"/>
    <w:rsid w:val="004E3466"/>
    <w:rsid w:val="005761DB"/>
    <w:rsid w:val="005946D6"/>
    <w:rsid w:val="005F5E42"/>
    <w:rsid w:val="006020A3"/>
    <w:rsid w:val="0060496C"/>
    <w:rsid w:val="006075B2"/>
    <w:rsid w:val="006351C6"/>
    <w:rsid w:val="0064727B"/>
    <w:rsid w:val="006707B9"/>
    <w:rsid w:val="006815F2"/>
    <w:rsid w:val="00683D01"/>
    <w:rsid w:val="006D01EB"/>
    <w:rsid w:val="007051D9"/>
    <w:rsid w:val="00717110"/>
    <w:rsid w:val="00736FA3"/>
    <w:rsid w:val="007B1343"/>
    <w:rsid w:val="007B39B5"/>
    <w:rsid w:val="007E12E7"/>
    <w:rsid w:val="00801188"/>
    <w:rsid w:val="00805B6C"/>
    <w:rsid w:val="00823205"/>
    <w:rsid w:val="0083756D"/>
    <w:rsid w:val="00844C72"/>
    <w:rsid w:val="0088690F"/>
    <w:rsid w:val="008B536F"/>
    <w:rsid w:val="008F4E06"/>
    <w:rsid w:val="0090313A"/>
    <w:rsid w:val="0090602A"/>
    <w:rsid w:val="00955501"/>
    <w:rsid w:val="00955B1F"/>
    <w:rsid w:val="00995270"/>
    <w:rsid w:val="009A4DF2"/>
    <w:rsid w:val="009B3AA7"/>
    <w:rsid w:val="009D5664"/>
    <w:rsid w:val="00A15C3A"/>
    <w:rsid w:val="00A41132"/>
    <w:rsid w:val="00A4333B"/>
    <w:rsid w:val="00A55717"/>
    <w:rsid w:val="00A72EFB"/>
    <w:rsid w:val="00AE0481"/>
    <w:rsid w:val="00AF0C41"/>
    <w:rsid w:val="00B149A2"/>
    <w:rsid w:val="00B16A80"/>
    <w:rsid w:val="00B42D05"/>
    <w:rsid w:val="00B53A96"/>
    <w:rsid w:val="00B83778"/>
    <w:rsid w:val="00BC60E6"/>
    <w:rsid w:val="00C26F40"/>
    <w:rsid w:val="00C40B5E"/>
    <w:rsid w:val="00C43086"/>
    <w:rsid w:val="00CA2EF2"/>
    <w:rsid w:val="00CE23AD"/>
    <w:rsid w:val="00CE7A5B"/>
    <w:rsid w:val="00D23FF0"/>
    <w:rsid w:val="00DB4EEE"/>
    <w:rsid w:val="00E1603B"/>
    <w:rsid w:val="00E612BF"/>
    <w:rsid w:val="00E762E0"/>
    <w:rsid w:val="00E81F6B"/>
    <w:rsid w:val="00E9741D"/>
    <w:rsid w:val="00ED4FCB"/>
    <w:rsid w:val="00F17A85"/>
    <w:rsid w:val="00F46DA0"/>
    <w:rsid w:val="00F55D94"/>
    <w:rsid w:val="00F90EDD"/>
    <w:rsid w:val="00F95489"/>
    <w:rsid w:val="00F97204"/>
    <w:rsid w:val="00FC4BC9"/>
    <w:rsid w:val="00FF1B75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4EF85-54DB-47A9-BCFC-8B1FE2A8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6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060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23A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0B5E"/>
  </w:style>
  <w:style w:type="paragraph" w:styleId="Voettekst">
    <w:name w:val="footer"/>
    <w:basedOn w:val="Standaard"/>
    <w:link w:val="VoettekstChar"/>
    <w:uiPriority w:val="99"/>
    <w:unhideWhenUsed/>
    <w:rsid w:val="00C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0B5E"/>
  </w:style>
  <w:style w:type="character" w:styleId="Hyperlink">
    <w:name w:val="Hyperlink"/>
    <w:basedOn w:val="Standaardalinea-lettertype"/>
    <w:uiPriority w:val="99"/>
    <w:unhideWhenUsed/>
    <w:rsid w:val="00F17A8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995270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4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33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2320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2320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2320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2320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23205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106D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9060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97A3-A337-4B4F-8BA9-41BE5F49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de Groot</dc:creator>
  <cp:lastModifiedBy>Michel Brand</cp:lastModifiedBy>
  <cp:revision>2</cp:revision>
  <cp:lastPrinted>2018-12-31T11:51:00Z</cp:lastPrinted>
  <dcterms:created xsi:type="dcterms:W3CDTF">2019-02-20T10:45:00Z</dcterms:created>
  <dcterms:modified xsi:type="dcterms:W3CDTF">2019-02-20T10:45:00Z</dcterms:modified>
</cp:coreProperties>
</file>